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关于举办宁波银行对接交流会的通知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各有关单位：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为满足</w:t>
      </w:r>
      <w:r>
        <w:rPr>
          <w:rFonts w:hint="eastAsia"/>
          <w:sz w:val="28"/>
          <w:szCs w:val="28"/>
          <w:lang w:eastAsia="zh-CN"/>
        </w:rPr>
        <w:t>楼</w:t>
      </w:r>
      <w:r>
        <w:rPr>
          <w:rFonts w:hint="eastAsia"/>
          <w:sz w:val="28"/>
          <w:szCs w:val="28"/>
        </w:rPr>
        <w:t>内企业在公司金融产品方面的基本需求，也为宁波银行无锡分行作为研究院企业服务平台成员更好</w:t>
      </w:r>
      <w:r>
        <w:rPr>
          <w:rFonts w:hint="eastAsia"/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</w:rPr>
        <w:t>服务于楼内企业，促进银企可持续发展，清华大学无锡应用技术研究院将于2017年2月28日联合宁波银行无锡分行举办“品香审韵论茶道、公司金融有宁波”专场银企对接交流会。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2017年</w:t>
      </w:r>
      <w:r>
        <w:rPr>
          <w:rFonts w:hint="eastAsia"/>
          <w:sz w:val="28"/>
          <w:szCs w:val="28"/>
        </w:rPr>
        <w:t>2月28日（周二）14:00-16:00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研究院二</w:t>
      </w:r>
      <w:bookmarkStart w:id="0" w:name="_GoBack"/>
      <w:bookmarkEnd w:id="0"/>
      <w:r>
        <w:rPr>
          <w:rFonts w:hint="eastAsia"/>
          <w:sz w:val="28"/>
          <w:szCs w:val="28"/>
        </w:rPr>
        <w:t>楼多功能厅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三、活动内容：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1.茶艺表演：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茶艺表演、生活功夫茶的冲泡、日常玻璃杯的泡法等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2.宁波银行电子银行及投资理财业务产品推介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\o\ac(○,1)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电子银行：通过介绍功能丰富、灵活管理、操作便捷、流程创新的电子银行系统了解，让您足不出户玩转公司金融。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\o\ac(○,2)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投资理财：通过对市场需求的深入了解，搭建了品种丰富、能够满足不同企业风险收益需求的理财金融产品群。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品茗审韵、公司金融两不误，活动期间还有</w:t>
      </w:r>
      <w:r>
        <w:rPr>
          <w:rFonts w:hint="eastAsia"/>
          <w:b/>
          <w:sz w:val="28"/>
          <w:szCs w:val="28"/>
        </w:rPr>
        <w:t>精美礼品</w:t>
      </w:r>
      <w:r>
        <w:rPr>
          <w:rFonts w:hint="eastAsia"/>
          <w:sz w:val="28"/>
          <w:szCs w:val="28"/>
        </w:rPr>
        <w:t>赠送，请有意向参加的单位将回执于2017年2月27日前发至联系人邮箱。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联系人：顾钰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联系电话：15852807123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联系邮箱：</w:t>
      </w:r>
      <w:r>
        <w:fldChar w:fldCharType="begin"/>
      </w:r>
      <w:r>
        <w:instrText xml:space="preserve"> HYPERLINK "mailto:guyu@tsinghua-wx.org"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guyu@tsinghua-wx.org</w:t>
      </w:r>
      <w:r>
        <w:rPr>
          <w:rStyle w:val="7"/>
          <w:rFonts w:hint="eastAsia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清华大学无锡应用技术研究院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2017年2月22日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回执单</w:t>
      </w:r>
    </w:p>
    <w:tbl>
      <w:tblPr>
        <w:tblStyle w:val="9"/>
        <w:tblpPr w:leftFromText="180" w:rightFromText="180" w:vertAnchor="text" w:horzAnchor="page" w:tblpX="1822" w:tblpY="115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11"/>
        <w:gridCol w:w="1346"/>
        <w:gridCol w:w="1513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7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7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0D1"/>
    <w:multiLevelType w:val="singleLevel"/>
    <w:tmpl w:val="58A2B0D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050D"/>
    <w:rsid w:val="00044233"/>
    <w:rsid w:val="00126F62"/>
    <w:rsid w:val="00245C5E"/>
    <w:rsid w:val="00481660"/>
    <w:rsid w:val="005D243E"/>
    <w:rsid w:val="007600B7"/>
    <w:rsid w:val="008E3DA4"/>
    <w:rsid w:val="009F6CE1"/>
    <w:rsid w:val="00C24246"/>
    <w:rsid w:val="00F522FF"/>
    <w:rsid w:val="0347050D"/>
    <w:rsid w:val="10323AC3"/>
    <w:rsid w:val="1C386321"/>
    <w:rsid w:val="30B67716"/>
    <w:rsid w:val="3CC06C3F"/>
    <w:rsid w:val="455F1CDA"/>
    <w:rsid w:val="47D6721B"/>
    <w:rsid w:val="480E16E6"/>
    <w:rsid w:val="48F350B9"/>
    <w:rsid w:val="63253DDF"/>
    <w:rsid w:val="70454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TWRI</Company>
  <Pages>2</Pages>
  <Words>108</Words>
  <Characters>618</Characters>
  <Lines>5</Lines>
  <Paragraphs>1</Paragraphs>
  <ScaleCrop>false</ScaleCrop>
  <LinksUpToDate>false</LinksUpToDate>
  <CharactersWithSpaces>725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2016-09-07T06:47:00Z</dcterms:created>
  <dc:creator>yu</dc:creator>
  <cp:lastModifiedBy>yu</cp:lastModifiedBy>
  <dcterms:modified xsi:type="dcterms:W3CDTF">2017-02-22T03:36:36Z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